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082908A9" w14:textId="77777777" w:rsidR="008953F4" w:rsidRPr="009546E7" w:rsidRDefault="008953F4" w:rsidP="008953F4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293DE37C" w14:textId="77777777" w:rsidR="008953F4" w:rsidRPr="009546E7" w:rsidRDefault="008953F4" w:rsidP="008953F4">
      <w:pPr>
        <w:spacing w:after="0"/>
        <w:jc w:val="both"/>
        <w:rPr>
          <w:sz w:val="20"/>
          <w:szCs w:val="20"/>
        </w:rPr>
      </w:pPr>
    </w:p>
    <w:p w14:paraId="2E282CC4" w14:textId="539169B9" w:rsidR="00586848" w:rsidRDefault="008953F4" w:rsidP="008953F4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12FFDA0E" w14:textId="64231A35" w:rsidR="00E60F03" w:rsidRPr="009546E7" w:rsidRDefault="00D73C42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Intervalo de confianza</w:t>
      </w:r>
      <w:r w:rsidR="00E60F03" w:rsidRPr="009546E7">
        <w:rPr>
          <w:sz w:val="20"/>
          <w:szCs w:val="20"/>
        </w:rPr>
        <w:t>.</w:t>
      </w:r>
    </w:p>
    <w:p w14:paraId="27D5E63C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097A3E9D" w:rsidR="00E60F03" w:rsidRDefault="00E60F03" w:rsidP="007B774C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E60F03">
        <w:rPr>
          <w:sz w:val="20"/>
          <w:szCs w:val="20"/>
        </w:rPr>
        <w:t>Acuerdo CAC- 00</w:t>
      </w:r>
      <w:r w:rsidR="007B774C">
        <w:rPr>
          <w:sz w:val="20"/>
          <w:szCs w:val="20"/>
        </w:rPr>
        <w:t>4</w:t>
      </w:r>
      <w:r w:rsidRPr="00E60F03">
        <w:rPr>
          <w:sz w:val="20"/>
          <w:szCs w:val="20"/>
        </w:rPr>
        <w:t>/0</w:t>
      </w:r>
      <w:r w:rsidR="007B774C">
        <w:rPr>
          <w:sz w:val="20"/>
          <w:szCs w:val="20"/>
        </w:rPr>
        <w:t>3</w:t>
      </w:r>
      <w:r w:rsidRPr="00E60F03">
        <w:rPr>
          <w:sz w:val="20"/>
          <w:szCs w:val="20"/>
        </w:rPr>
        <w:t>/201</w:t>
      </w:r>
      <w:r w:rsidR="007B774C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en la </w:t>
      </w:r>
      <w:r w:rsidR="007B774C">
        <w:rPr>
          <w:sz w:val="20"/>
          <w:szCs w:val="20"/>
        </w:rPr>
        <w:t>tercera</w:t>
      </w:r>
      <w:r w:rsidRPr="00E60F03">
        <w:rPr>
          <w:sz w:val="20"/>
          <w:szCs w:val="20"/>
        </w:rPr>
        <w:t xml:space="preserve"> sesión del 201</w:t>
      </w:r>
      <w:r w:rsidR="007B774C">
        <w:rPr>
          <w:sz w:val="20"/>
          <w:szCs w:val="20"/>
        </w:rPr>
        <w:t>7</w:t>
      </w:r>
      <w:r w:rsidRPr="00E60F03">
        <w:rPr>
          <w:sz w:val="20"/>
          <w:szCs w:val="20"/>
        </w:rPr>
        <w:t xml:space="preserve">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5F523C96" w14:textId="5A94BA27" w:rsidR="00E60F03" w:rsidRDefault="00D73C42" w:rsidP="00597769">
      <w:pPr>
        <w:pStyle w:val="Prrafodelista"/>
        <w:spacing w:after="0"/>
        <w:ind w:left="360"/>
        <w:jc w:val="both"/>
        <w:rPr>
          <w:sz w:val="20"/>
          <w:szCs w:val="20"/>
        </w:rPr>
      </w:pPr>
      <w:r w:rsidRPr="00D73C42">
        <w:rPr>
          <w:sz w:val="20"/>
          <w:szCs w:val="20"/>
        </w:rPr>
        <w:t>A partir de enero de 2018, el intervalo de confianza deberá de ser calculado y publicado en la forma estandarizada que se defina para las variables principales y dominios de estudio de todos los pro</w:t>
      </w:r>
      <w:r w:rsidR="00597769">
        <w:rPr>
          <w:sz w:val="20"/>
          <w:szCs w:val="20"/>
        </w:rPr>
        <w:t>cesos de producción</w:t>
      </w:r>
      <w:r w:rsidRPr="00D73C42">
        <w:rPr>
          <w:sz w:val="20"/>
          <w:szCs w:val="20"/>
        </w:rPr>
        <w:t xml:space="preserve"> con muestreo probabilístico.</w:t>
      </w:r>
    </w:p>
    <w:p w14:paraId="5F714E15" w14:textId="77777777" w:rsidR="002529AB" w:rsidRPr="00E60F03" w:rsidRDefault="002529AB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86870DF" w:rsidR="00E60F03" w:rsidRDefault="007B774C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Veracidad (precisión y confiabilidad)</w:t>
      </w:r>
      <w:r w:rsidR="00E60F03" w:rsidRPr="00E60F03">
        <w:rPr>
          <w:sz w:val="20"/>
          <w:szCs w:val="20"/>
        </w:rPr>
        <w:t xml:space="preserve">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0AA08F63" w14:textId="75C3B7E9" w:rsidR="009935FA" w:rsidRDefault="00597769" w:rsidP="002529AB">
      <w:pPr>
        <w:pStyle w:val="Prrafodelista"/>
        <w:spacing w:after="0"/>
        <w:ind w:left="360"/>
        <w:jc w:val="both"/>
        <w:rPr>
          <w:b/>
          <w:bCs/>
          <w:sz w:val="20"/>
          <w:szCs w:val="20"/>
        </w:rPr>
      </w:pPr>
      <w:r w:rsidRPr="00597769">
        <w:rPr>
          <w:sz w:val="20"/>
          <w:szCs w:val="20"/>
        </w:rPr>
        <w:t>El intervalo de confianza es un indicador de uso combinado ‐internamente se utiliza por los responsables de pro</w:t>
      </w:r>
      <w:r>
        <w:rPr>
          <w:sz w:val="20"/>
          <w:szCs w:val="20"/>
        </w:rPr>
        <w:t>cesos de producción</w:t>
      </w:r>
      <w:r w:rsidRPr="00597769">
        <w:rPr>
          <w:sz w:val="20"/>
          <w:szCs w:val="20"/>
        </w:rPr>
        <w:t xml:space="preserve"> y externamente por los usuarios‐ para junto con el coeficiente de variación y el error estándar informar la precisión estadística de las estimaciones y </w:t>
      </w:r>
      <w:r>
        <w:rPr>
          <w:sz w:val="20"/>
          <w:szCs w:val="20"/>
        </w:rPr>
        <w:t>su</w:t>
      </w:r>
      <w:r w:rsidRPr="00597769">
        <w:rPr>
          <w:sz w:val="20"/>
          <w:szCs w:val="20"/>
        </w:rPr>
        <w:t xml:space="preserve"> confiabilidad.</w:t>
      </w:r>
    </w:p>
    <w:p w14:paraId="577077BC" w14:textId="77777777" w:rsidR="009935FA" w:rsidRDefault="009935FA" w:rsidP="009935FA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C0BABB9" w14:textId="39F95622" w:rsidR="009935FA" w:rsidRDefault="009935FA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Procesos estadísticos para los cuales no aplica el cálculo de este indicador:</w:t>
      </w:r>
    </w:p>
    <w:p w14:paraId="7FDA1C92" w14:textId="77777777" w:rsidR="009935FA" w:rsidRDefault="009935FA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Unidad de Estadisticas Sociodemográficas. Dirección de Diseño y Marcos Estadísticos. </w:t>
      </w:r>
    </w:p>
    <w:p w14:paraId="3575D060" w14:textId="1070B30C" w:rsidR="009935FA" w:rsidRDefault="00597769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de Origen Destino de la Ciudad de México y la Zona Metropolitana del Valle de México (EOD)</w:t>
      </w:r>
      <w:r w:rsidR="009935FA">
        <w:rPr>
          <w:sz w:val="20"/>
          <w:szCs w:val="20"/>
        </w:rPr>
        <w:t xml:space="preserve">. </w:t>
      </w:r>
    </w:p>
    <w:p w14:paraId="6769BC32" w14:textId="5CC9A3B7" w:rsidR="009935FA" w:rsidRDefault="00597769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Nacional sobre Renta de Vivienda y Servicio D</w:t>
      </w:r>
      <w:r>
        <w:rPr>
          <w:sz w:val="20"/>
          <w:szCs w:val="20"/>
        </w:rPr>
        <w:t>o</w:t>
      </w:r>
      <w:r w:rsidRPr="00597769">
        <w:rPr>
          <w:sz w:val="20"/>
          <w:szCs w:val="20"/>
        </w:rPr>
        <w:t>m</w:t>
      </w:r>
      <w:r>
        <w:rPr>
          <w:sz w:val="20"/>
          <w:szCs w:val="20"/>
        </w:rPr>
        <w:t>é</w:t>
      </w:r>
      <w:r w:rsidRPr="00597769">
        <w:rPr>
          <w:sz w:val="20"/>
          <w:szCs w:val="20"/>
        </w:rPr>
        <w:t>stico (ENREVID)</w:t>
      </w:r>
      <w:r w:rsidR="002529AB">
        <w:rPr>
          <w:sz w:val="20"/>
          <w:szCs w:val="20"/>
        </w:rPr>
        <w:t>.</w:t>
      </w:r>
    </w:p>
    <w:p w14:paraId="4EB80296" w14:textId="183C25A1" w:rsidR="002529AB" w:rsidRDefault="00597769" w:rsidP="009935FA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Módulo de Ciberacoso (MOCIBA)</w:t>
      </w:r>
      <w:r w:rsidR="002529AB">
        <w:rPr>
          <w:sz w:val="20"/>
          <w:szCs w:val="20"/>
        </w:rPr>
        <w:t>.</w:t>
      </w:r>
      <w:r w:rsidR="002529AB" w:rsidRPr="002529AB">
        <w:rPr>
          <w:sz w:val="20"/>
          <w:szCs w:val="20"/>
        </w:rPr>
        <w:t xml:space="preserve"> </w:t>
      </w:r>
    </w:p>
    <w:p w14:paraId="6234F6D5" w14:textId="1E517049" w:rsidR="007B774C" w:rsidRDefault="00597769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Módulo de Movilidad Social Intergeneracional (MMSI)</w:t>
      </w:r>
      <w:r w:rsidR="002529AB">
        <w:rPr>
          <w:sz w:val="20"/>
          <w:szCs w:val="20"/>
        </w:rPr>
        <w:t>.</w:t>
      </w:r>
    </w:p>
    <w:p w14:paraId="35F69716" w14:textId="17B36F71" w:rsidR="002529AB" w:rsidRDefault="00597769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Nacional sobre Discriminación (ENADIS)</w:t>
      </w:r>
      <w:r w:rsidR="002529AB">
        <w:rPr>
          <w:sz w:val="20"/>
          <w:szCs w:val="20"/>
        </w:rPr>
        <w:t>.</w:t>
      </w:r>
    </w:p>
    <w:p w14:paraId="5F5426A9" w14:textId="26BE9509" w:rsidR="002529AB" w:rsidRDefault="00597769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Nacional de la Dinámica Demográfica (ENADID)</w:t>
      </w:r>
      <w:r w:rsidR="002529AB">
        <w:rPr>
          <w:sz w:val="20"/>
          <w:szCs w:val="20"/>
        </w:rPr>
        <w:t>.</w:t>
      </w:r>
    </w:p>
    <w:p w14:paraId="57817900" w14:textId="05D6DBD7" w:rsidR="002529AB" w:rsidRDefault="00597769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Nacional de Vivienda (ENVI)</w:t>
      </w:r>
      <w:r w:rsidR="002529AB">
        <w:rPr>
          <w:sz w:val="20"/>
          <w:szCs w:val="20"/>
        </w:rPr>
        <w:t>.</w:t>
      </w:r>
    </w:p>
    <w:p w14:paraId="79E94D6B" w14:textId="744071D5" w:rsidR="002529AB" w:rsidRDefault="00597769" w:rsidP="002529AB">
      <w:pPr>
        <w:pStyle w:val="Prrafodelista"/>
        <w:numPr>
          <w:ilvl w:val="0"/>
          <w:numId w:val="9"/>
        </w:numPr>
        <w:spacing w:after="0"/>
        <w:ind w:left="851"/>
        <w:rPr>
          <w:sz w:val="20"/>
          <w:szCs w:val="20"/>
        </w:rPr>
      </w:pPr>
      <w:r w:rsidRPr="00597769">
        <w:rPr>
          <w:sz w:val="20"/>
          <w:szCs w:val="20"/>
        </w:rPr>
        <w:t>Encuesta Nacional sobre Uso del Tiempo (ENUT)</w:t>
      </w:r>
      <w:r w:rsidR="002529AB">
        <w:rPr>
          <w:sz w:val="20"/>
          <w:szCs w:val="20"/>
        </w:rPr>
        <w:t>.</w:t>
      </w: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Fuentes de la metodología y/o estándares utilizados en el cálculo del indicador:</w:t>
      </w:r>
    </w:p>
    <w:p w14:paraId="551C97CC" w14:textId="365277F1" w:rsidR="00335E4E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Técnicas de Muestreo, 1991.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Cochran William</w:t>
      </w:r>
      <w:r>
        <w:rPr>
          <w:sz w:val="20"/>
          <w:szCs w:val="20"/>
        </w:rPr>
        <w:t>.</w:t>
      </w:r>
    </w:p>
    <w:p w14:paraId="0F0DD2D4" w14:textId="1991A3C0" w:rsidR="009935FA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Muestreo de encuestas, 1972.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Kish Leslie</w:t>
      </w:r>
      <w:r>
        <w:rPr>
          <w:sz w:val="20"/>
          <w:szCs w:val="20"/>
        </w:rPr>
        <w:t>.</w:t>
      </w:r>
    </w:p>
    <w:p w14:paraId="5A86C7CE" w14:textId="5434A16D" w:rsidR="009935FA" w:rsidRDefault="009935FA" w:rsidP="009935FA">
      <w:pPr>
        <w:pStyle w:val="Prrafodelista"/>
        <w:numPr>
          <w:ilvl w:val="0"/>
          <w:numId w:val="10"/>
        </w:numPr>
        <w:spacing w:after="0"/>
        <w:ind w:left="851"/>
        <w:rPr>
          <w:sz w:val="20"/>
          <w:szCs w:val="20"/>
        </w:rPr>
      </w:pPr>
      <w:r w:rsidRPr="009935FA">
        <w:rPr>
          <w:sz w:val="20"/>
          <w:szCs w:val="20"/>
        </w:rPr>
        <w:t>Model Assisted Survey Sampling, 2003.</w:t>
      </w:r>
      <w:r>
        <w:rPr>
          <w:sz w:val="20"/>
          <w:szCs w:val="20"/>
        </w:rPr>
        <w:t xml:space="preserve"> </w:t>
      </w:r>
      <w:r w:rsidRPr="009935FA">
        <w:rPr>
          <w:sz w:val="20"/>
          <w:szCs w:val="20"/>
        </w:rPr>
        <w:t>Carl‐Erik Särndal et al.</w:t>
      </w:r>
    </w:p>
    <w:p w14:paraId="3407AC9B" w14:textId="77777777" w:rsidR="009935FA" w:rsidRPr="00E60F03" w:rsidRDefault="009935FA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6EA2006D" w:rsidR="00E60F03" w:rsidRDefault="006B1E11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de</w:t>
      </w:r>
      <w:r w:rsidR="00D42E7D">
        <w:rPr>
          <w:b/>
          <w:bCs/>
          <w:sz w:val="20"/>
          <w:szCs w:val="20"/>
        </w:rPr>
        <w:t xml:space="preserve"> la ficha del indicador</w:t>
      </w:r>
      <w:r w:rsidR="00E60F03">
        <w:rPr>
          <w:b/>
          <w:bCs/>
          <w:sz w:val="20"/>
          <w:szCs w:val="20"/>
        </w:rPr>
        <w:t>:</w:t>
      </w:r>
    </w:p>
    <w:p w14:paraId="2E409AF4" w14:textId="7CE7B648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Unidad Administrativa o Grupo de trabajo.- </w:t>
      </w:r>
      <w:r w:rsidR="00A50F8D" w:rsidRPr="00A50F8D">
        <w:rPr>
          <w:sz w:val="20"/>
          <w:szCs w:val="20"/>
        </w:rPr>
        <w:t>Grupo de trabajo para la definición de indicadores de precisión para encuestas</w:t>
      </w:r>
      <w:r w:rsidRPr="00A50F8D">
        <w:rPr>
          <w:sz w:val="20"/>
          <w:szCs w:val="20"/>
        </w:rPr>
        <w:t>.</w:t>
      </w:r>
    </w:p>
    <w:p w14:paraId="27212629" w14:textId="1902263F" w:rsidR="00464252" w:rsidRPr="00464252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Araceli Martínez Gama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directora de</w:t>
      </w:r>
      <w:r w:rsidRPr="00A50F8D">
        <w:rPr>
          <w:sz w:val="20"/>
          <w:szCs w:val="20"/>
        </w:rPr>
        <w:t xml:space="preserve"> Marcos y Muestreo, Dirección General de Estadísticas Económicas</w:t>
      </w:r>
      <w:r w:rsidR="00464252" w:rsidRPr="00464252">
        <w:rPr>
          <w:sz w:val="20"/>
          <w:szCs w:val="20"/>
        </w:rPr>
        <w:t>.</w:t>
      </w:r>
    </w:p>
    <w:p w14:paraId="70B001BA" w14:textId="796E3B09" w:rsidR="00464252" w:rsidRPr="00464252" w:rsidRDefault="00A50F8D" w:rsidP="00E60F03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Gonzalo Pérez de la Cruz</w:t>
      </w:r>
      <w:r w:rsidR="00464252" w:rsidRPr="00464252">
        <w:rPr>
          <w:sz w:val="20"/>
          <w:szCs w:val="20"/>
        </w:rPr>
        <w:t>, director</w:t>
      </w:r>
      <w:r>
        <w:rPr>
          <w:sz w:val="20"/>
          <w:szCs w:val="20"/>
        </w:rPr>
        <w:t xml:space="preserve"> en la Coordinación de asesores</w:t>
      </w:r>
      <w:r w:rsidR="00464252" w:rsidRPr="00464252">
        <w:rPr>
          <w:sz w:val="20"/>
          <w:szCs w:val="20"/>
        </w:rPr>
        <w:t>.</w:t>
      </w:r>
    </w:p>
    <w:p w14:paraId="6C8EA146" w14:textId="6D45A145" w:rsidR="00464252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José de Jesús Jiménez Martínez</w:t>
      </w:r>
      <w:r w:rsidR="00464252" w:rsidRPr="00464252">
        <w:rPr>
          <w:sz w:val="20"/>
          <w:szCs w:val="20"/>
        </w:rPr>
        <w:t xml:space="preserve">, </w:t>
      </w:r>
      <w:r>
        <w:rPr>
          <w:sz w:val="20"/>
          <w:szCs w:val="20"/>
        </w:rPr>
        <w:t>s</w:t>
      </w:r>
      <w:r w:rsidRPr="00A50F8D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A50F8D">
        <w:rPr>
          <w:sz w:val="20"/>
          <w:szCs w:val="20"/>
        </w:rPr>
        <w:t xml:space="preserve"> de Diseño Estadístico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Dirección General de Estadísticas Económicas</w:t>
      </w:r>
      <w:r w:rsidR="00464252" w:rsidRPr="00464252">
        <w:rPr>
          <w:sz w:val="20"/>
          <w:szCs w:val="20"/>
        </w:rPr>
        <w:t>.</w:t>
      </w:r>
    </w:p>
    <w:p w14:paraId="3877D5AE" w14:textId="1E118C5B" w:rsidR="00A50F8D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Sofia Isabel Pérez Gutiérrez</w:t>
      </w:r>
      <w:r>
        <w:rPr>
          <w:sz w:val="20"/>
          <w:szCs w:val="20"/>
        </w:rPr>
        <w:t>, jefa del d</w:t>
      </w:r>
      <w:r w:rsidRPr="00A50F8D">
        <w:rPr>
          <w:sz w:val="20"/>
          <w:szCs w:val="20"/>
        </w:rPr>
        <w:t>epartamento de Diseño Muestral de</w:t>
      </w:r>
      <w:r>
        <w:rPr>
          <w:sz w:val="20"/>
          <w:szCs w:val="20"/>
        </w:rPr>
        <w:t xml:space="preserve"> </w:t>
      </w:r>
      <w:r w:rsidRPr="00A50F8D">
        <w:rPr>
          <w:sz w:val="20"/>
          <w:szCs w:val="20"/>
        </w:rPr>
        <w:t>Encuestas Continuas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A50F8D">
        <w:rPr>
          <w:sz w:val="20"/>
          <w:szCs w:val="20"/>
        </w:rPr>
        <w:t>irección General de Estadísticas Económicas</w:t>
      </w:r>
      <w:r>
        <w:rPr>
          <w:sz w:val="20"/>
          <w:szCs w:val="20"/>
        </w:rPr>
        <w:t>.</w:t>
      </w:r>
    </w:p>
    <w:p w14:paraId="64737715" w14:textId="5742098D" w:rsidR="00A50F8D" w:rsidRDefault="00A50F8D" w:rsidP="00A50F8D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Mario Alberto Santillana Zapata</w:t>
      </w:r>
      <w:r>
        <w:rPr>
          <w:sz w:val="20"/>
          <w:szCs w:val="20"/>
        </w:rPr>
        <w:t>, d</w:t>
      </w:r>
      <w:r w:rsidRPr="00A50F8D">
        <w:rPr>
          <w:sz w:val="20"/>
          <w:szCs w:val="20"/>
        </w:rPr>
        <w:t>irec</w:t>
      </w:r>
      <w:r>
        <w:rPr>
          <w:sz w:val="20"/>
          <w:szCs w:val="20"/>
        </w:rPr>
        <w:t>tor</w:t>
      </w:r>
      <w:r w:rsidRPr="00A50F8D">
        <w:rPr>
          <w:sz w:val="20"/>
          <w:szCs w:val="20"/>
        </w:rPr>
        <w:t xml:space="preserve"> </w:t>
      </w:r>
      <w:r w:rsidR="00E75ECC">
        <w:rPr>
          <w:sz w:val="20"/>
          <w:szCs w:val="20"/>
        </w:rPr>
        <w:t xml:space="preserve">general adjunto </w:t>
      </w:r>
      <w:r w:rsidRPr="00A50F8D">
        <w:rPr>
          <w:sz w:val="20"/>
          <w:szCs w:val="20"/>
        </w:rPr>
        <w:t>de Modelos de Información Gubernamental</w:t>
      </w:r>
      <w:r>
        <w:rPr>
          <w:sz w:val="20"/>
          <w:szCs w:val="20"/>
        </w:rPr>
        <w:t>.</w:t>
      </w:r>
      <w:r w:rsidRPr="00A50F8D">
        <w:rPr>
          <w:sz w:val="20"/>
          <w:szCs w:val="20"/>
        </w:rPr>
        <w:t xml:space="preserve"> Dirección General de Estadísticas de Gobierno, Seguridad Pública y Justicia</w:t>
      </w:r>
      <w:r>
        <w:rPr>
          <w:sz w:val="20"/>
          <w:szCs w:val="20"/>
        </w:rPr>
        <w:t>.</w:t>
      </w:r>
    </w:p>
    <w:p w14:paraId="3633671F" w14:textId="50A0BE67" w:rsidR="00A50F8D" w:rsidRDefault="00A50F8D" w:rsidP="00DF5B40">
      <w:pPr>
        <w:pStyle w:val="Prrafodelista"/>
        <w:spacing w:after="0"/>
        <w:ind w:left="360"/>
        <w:rPr>
          <w:sz w:val="20"/>
          <w:szCs w:val="20"/>
        </w:rPr>
      </w:pPr>
      <w:r w:rsidRPr="00A50F8D">
        <w:rPr>
          <w:sz w:val="20"/>
          <w:szCs w:val="20"/>
        </w:rPr>
        <w:t>Gerardo Barragán Romero</w:t>
      </w:r>
      <w:r>
        <w:rPr>
          <w:sz w:val="20"/>
          <w:szCs w:val="20"/>
        </w:rPr>
        <w:t xml:space="preserve">, </w:t>
      </w:r>
      <w:r w:rsidR="00DF5B40">
        <w:rPr>
          <w:sz w:val="20"/>
          <w:szCs w:val="20"/>
        </w:rPr>
        <w:t>s</w:t>
      </w:r>
      <w:r w:rsidR="00DF5B40" w:rsidRPr="00DF5B40">
        <w:rPr>
          <w:sz w:val="20"/>
          <w:szCs w:val="20"/>
        </w:rPr>
        <w:t>ubdirec</w:t>
      </w:r>
      <w:r w:rsidR="00DF5B40">
        <w:rPr>
          <w:sz w:val="20"/>
          <w:szCs w:val="20"/>
        </w:rPr>
        <w:t>tor</w:t>
      </w:r>
      <w:r w:rsidR="00DF5B40" w:rsidRPr="00DF5B40">
        <w:rPr>
          <w:sz w:val="20"/>
          <w:szCs w:val="20"/>
        </w:rPr>
        <w:t xml:space="preserve"> de Diseño Estadístico e Implementación de Encuestas Nacionales de Gobierno</w:t>
      </w:r>
      <w:r w:rsidR="00DF5B40">
        <w:rPr>
          <w:sz w:val="20"/>
          <w:szCs w:val="20"/>
        </w:rPr>
        <w:t>.</w:t>
      </w:r>
      <w:r w:rsidR="00DF5B40" w:rsidRPr="00DF5B40">
        <w:rPr>
          <w:sz w:val="20"/>
          <w:szCs w:val="20"/>
        </w:rPr>
        <w:t xml:space="preserve"> Dirección General de Estadísticas de Gobierno, Seguridad Pública y Justicia</w:t>
      </w:r>
      <w:r w:rsidR="00DF5B40">
        <w:rPr>
          <w:sz w:val="20"/>
          <w:szCs w:val="20"/>
        </w:rPr>
        <w:t>.</w:t>
      </w:r>
    </w:p>
    <w:p w14:paraId="6685A7ED" w14:textId="543B2AB9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Octavio Heredia Hernández</w:t>
      </w:r>
      <w:r>
        <w:rPr>
          <w:sz w:val="20"/>
          <w:szCs w:val="20"/>
        </w:rPr>
        <w:t>, d</w:t>
      </w:r>
      <w:r w:rsidRPr="00DF5B40">
        <w:rPr>
          <w:sz w:val="20"/>
          <w:szCs w:val="20"/>
        </w:rPr>
        <w:t>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</w:t>
      </w:r>
      <w:r w:rsidR="00D9328F">
        <w:rPr>
          <w:sz w:val="20"/>
          <w:szCs w:val="20"/>
        </w:rPr>
        <w:t xml:space="preserve">general adjunto </w:t>
      </w:r>
      <w:r w:rsidRPr="00DF5B40">
        <w:rPr>
          <w:sz w:val="20"/>
          <w:szCs w:val="20"/>
        </w:rPr>
        <w:t>de Diseño y Marcos Estadísticos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Estadísticas Sociodemográficas</w:t>
      </w:r>
      <w:r>
        <w:rPr>
          <w:sz w:val="20"/>
          <w:szCs w:val="20"/>
        </w:rPr>
        <w:t>.</w:t>
      </w:r>
    </w:p>
    <w:p w14:paraId="37B7E9F4" w14:textId="5F26E4D5" w:rsidR="00DF5B40" w:rsidRP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Jaime Mojíca Cuevas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de Diseño Muestral de Vivienda</w:t>
      </w:r>
      <w:r>
        <w:rPr>
          <w:sz w:val="20"/>
          <w:szCs w:val="20"/>
        </w:rPr>
        <w:t xml:space="preserve">. </w:t>
      </w:r>
      <w:r w:rsidRPr="00DF5B40">
        <w:rPr>
          <w:sz w:val="20"/>
          <w:szCs w:val="20"/>
        </w:rPr>
        <w:t xml:space="preserve">Dirección General de Estadísticas </w:t>
      </w:r>
    </w:p>
    <w:p w14:paraId="0D88A345" w14:textId="7225B47D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Sociodemográficas</w:t>
      </w:r>
      <w:r>
        <w:rPr>
          <w:sz w:val="20"/>
          <w:szCs w:val="20"/>
        </w:rPr>
        <w:t>.</w:t>
      </w:r>
    </w:p>
    <w:p w14:paraId="6C5EC231" w14:textId="3F5EFD5D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Noriki Armando Ibarra Medina</w:t>
      </w:r>
      <w:r>
        <w:rPr>
          <w:sz w:val="20"/>
          <w:szCs w:val="20"/>
        </w:rPr>
        <w:t>, jefe del departamento</w:t>
      </w:r>
      <w:r w:rsidRPr="00DF5B40">
        <w:rPr>
          <w:sz w:val="20"/>
          <w:szCs w:val="20"/>
        </w:rPr>
        <w:t xml:space="preserve"> de Selección y Control de Muestras Regulares, Dirección General de Estadísticas Sociodemográficas</w:t>
      </w:r>
      <w:r>
        <w:rPr>
          <w:sz w:val="20"/>
          <w:szCs w:val="20"/>
        </w:rPr>
        <w:t>.</w:t>
      </w:r>
    </w:p>
    <w:p w14:paraId="145E06ED" w14:textId="13428075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Fabián García Montaño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</w:t>
      </w:r>
      <w:r w:rsidRPr="00DF5B40">
        <w:rPr>
          <w:sz w:val="20"/>
          <w:szCs w:val="20"/>
        </w:rPr>
        <w:t xml:space="preserve"> de Planeación, Análisis y Seguimiento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Geografía y Medio Ambiente</w:t>
      </w:r>
      <w:r>
        <w:rPr>
          <w:sz w:val="20"/>
          <w:szCs w:val="20"/>
        </w:rPr>
        <w:t>.</w:t>
      </w:r>
    </w:p>
    <w:p w14:paraId="2AE84F5F" w14:textId="6547D501" w:rsid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Hortencia Medina Uribe</w:t>
      </w:r>
      <w:r>
        <w:rPr>
          <w:sz w:val="20"/>
          <w:szCs w:val="20"/>
        </w:rPr>
        <w:t>, s</w:t>
      </w:r>
      <w:r w:rsidRPr="00DF5B40">
        <w:rPr>
          <w:sz w:val="20"/>
          <w:szCs w:val="20"/>
        </w:rPr>
        <w:t>ubdirec</w:t>
      </w:r>
      <w:r>
        <w:rPr>
          <w:sz w:val="20"/>
          <w:szCs w:val="20"/>
        </w:rPr>
        <w:t>tora</w:t>
      </w:r>
      <w:r w:rsidRPr="00DF5B40">
        <w:rPr>
          <w:sz w:val="20"/>
          <w:szCs w:val="20"/>
        </w:rPr>
        <w:t xml:space="preserve"> de Estadísticas Ambientales en Actividades Económicas y Hogares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Dirección General de Geografía y Medio Ambiente</w:t>
      </w:r>
      <w:r>
        <w:rPr>
          <w:sz w:val="20"/>
          <w:szCs w:val="20"/>
        </w:rPr>
        <w:t>.</w:t>
      </w:r>
    </w:p>
    <w:p w14:paraId="7AD99932" w14:textId="005BF1EE" w:rsidR="00DF5B40" w:rsidRPr="00DF5B40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Hugo Reginaldo Correa Bayardo</w:t>
      </w:r>
      <w:r>
        <w:rPr>
          <w:sz w:val="20"/>
          <w:szCs w:val="20"/>
        </w:rPr>
        <w:t>, jefe del d</w:t>
      </w:r>
      <w:r w:rsidRPr="00DF5B40">
        <w:rPr>
          <w:sz w:val="20"/>
          <w:szCs w:val="20"/>
        </w:rPr>
        <w:t>epartamento de Análisis y Gestión del</w:t>
      </w:r>
    </w:p>
    <w:p w14:paraId="56636ED4" w14:textId="44D96A0C" w:rsidR="00DF5B40" w:rsidRPr="00464252" w:rsidRDefault="00DF5B40" w:rsidP="00DF5B40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Subsistema</w:t>
      </w:r>
      <w:r>
        <w:rPr>
          <w:sz w:val="20"/>
          <w:szCs w:val="20"/>
        </w:rPr>
        <w:t>.</w:t>
      </w:r>
      <w:r w:rsidRPr="00DF5B40">
        <w:rPr>
          <w:sz w:val="20"/>
          <w:szCs w:val="20"/>
        </w:rPr>
        <w:t xml:space="preserve"> Vicepresidencia de Información Demográfica y Social</w:t>
      </w:r>
      <w:r>
        <w:rPr>
          <w:sz w:val="20"/>
          <w:szCs w:val="20"/>
        </w:rPr>
        <w:t>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Medios de difusión:</w:t>
      </w:r>
    </w:p>
    <w:p w14:paraId="459AF3E2" w14:textId="5080EE18" w:rsid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  <w:r w:rsidRPr="00DF5B40">
        <w:rPr>
          <w:sz w:val="20"/>
          <w:szCs w:val="20"/>
        </w:rPr>
        <w:t>Difusión externa: Página Web del INEGI, según pro</w:t>
      </w:r>
      <w:r>
        <w:rPr>
          <w:sz w:val="20"/>
          <w:szCs w:val="20"/>
        </w:rPr>
        <w:t>ceso y a</w:t>
      </w:r>
      <w:r w:rsidRPr="00DF5B40">
        <w:rPr>
          <w:sz w:val="20"/>
          <w:szCs w:val="20"/>
        </w:rPr>
        <w:t xml:space="preserve">partado de </w:t>
      </w:r>
      <w:r>
        <w:rPr>
          <w:sz w:val="20"/>
          <w:szCs w:val="20"/>
        </w:rPr>
        <w:t>e</w:t>
      </w:r>
      <w:r w:rsidRPr="00DF5B40">
        <w:rPr>
          <w:sz w:val="20"/>
          <w:szCs w:val="20"/>
        </w:rPr>
        <w:t>valuación estadística de la calidad de los datos en la Red Nacional de Metadatos para cada pro</w:t>
      </w:r>
      <w:r>
        <w:rPr>
          <w:sz w:val="20"/>
          <w:szCs w:val="20"/>
        </w:rPr>
        <w:t>ceso de producción.</w:t>
      </w:r>
    </w:p>
    <w:p w14:paraId="5B28E2E4" w14:textId="77777777" w:rsidR="00DF5B40" w:rsidRP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23881F08" w:rsidR="00100E12" w:rsidRDefault="00DF5B40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20</w:t>
      </w:r>
      <w:r w:rsidR="00100E12" w:rsidRPr="00100E12">
        <w:rPr>
          <w:sz w:val="20"/>
          <w:szCs w:val="20"/>
        </w:rPr>
        <w:t>/1</w:t>
      </w:r>
      <w:r>
        <w:rPr>
          <w:sz w:val="20"/>
          <w:szCs w:val="20"/>
        </w:rPr>
        <w:t>0</w:t>
      </w:r>
      <w:r w:rsidR="00100E12" w:rsidRPr="00100E12">
        <w:rPr>
          <w:sz w:val="20"/>
          <w:szCs w:val="20"/>
        </w:rPr>
        <w:t>/201</w:t>
      </w:r>
      <w:r>
        <w:rPr>
          <w:sz w:val="20"/>
          <w:szCs w:val="20"/>
        </w:rPr>
        <w:t>7</w:t>
      </w:r>
      <w:r w:rsidR="00D42E7D">
        <w:rPr>
          <w:sz w:val="20"/>
          <w:szCs w:val="20"/>
        </w:rPr>
        <w:t xml:space="preserve">. </w:t>
      </w:r>
      <w:r w:rsidR="00D42E7D" w:rsidRPr="00D42E7D">
        <w:rPr>
          <w:sz w:val="20"/>
          <w:szCs w:val="20"/>
        </w:rPr>
        <w:t>(Con base a la entrada en vigor de la NTPPIEG, se ajustaron algunos conceptos dentro de la ficha del indicador, los cuales no alteran en ningún sentido los aspectos técnicos del mismo; Dichos ajustes se aplicaron con fecha del 17/11/2021).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ED13D02" w14:textId="77777777" w:rsidR="00586848" w:rsidRDefault="00586848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5EA10DD" w14:textId="77777777" w:rsidR="00586848" w:rsidRDefault="00586848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30B2431" w14:textId="77777777" w:rsidR="00586848" w:rsidRDefault="00586848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4CCD1BDA" w14:textId="77777777" w:rsidR="008953F4" w:rsidRDefault="008953F4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A3E5F47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ABB3178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57A6BFF" w14:textId="77777777" w:rsidR="00D42E7D" w:rsidRDefault="00D42E7D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1C8701FC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06DAFE86">
                <wp:simplePos x="0" y="0"/>
                <wp:positionH relativeFrom="margin">
                  <wp:posOffset>0</wp:posOffset>
                </wp:positionH>
                <wp:positionV relativeFrom="paragraph">
                  <wp:posOffset>-216906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-17.1pt;width:463.3pt;height:28.1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1A0CB8" w14:textId="77777777" w:rsidR="00EF3947" w:rsidRDefault="00EF3947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350C569C" w:rsidR="0097395E" w:rsidRPr="00464252" w:rsidRDefault="00D42E7D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Encuestas probabilísticas y por muestreo mixto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70716139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15977828" w:rsidR="0097395E" w:rsidRPr="0097395E" w:rsidRDefault="00597769" w:rsidP="00362EEC">
      <w:pPr>
        <w:pStyle w:val="Prrafodelista"/>
        <w:spacing w:after="0" w:line="240" w:lineRule="auto"/>
        <w:ind w:left="426" w:right="-37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59776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Es una medida de calidad de las estimaciones para pro</w:t>
      </w:r>
      <w:r w:rsidR="008E593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59776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muestreo probabilístico. Sirve para mostrar, por medio de un rango de valores y con cierta confiabilidad, la dispersión asociada a la distribución del estimador de cada uno de los parámetros de estudio (medias, totales u otros indicadores compuestos)</w:t>
      </w:r>
      <w:r w:rsidR="00394D4B" w:rsidRPr="00394D4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362EEC">
      <w:pPr>
        <w:pStyle w:val="Prrafodelista"/>
        <w:spacing w:after="0" w:line="240" w:lineRule="auto"/>
        <w:ind w:left="426" w:right="-376"/>
        <w:jc w:val="both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2B16AA96" w:rsidR="0097395E" w:rsidRPr="0097395E" w:rsidRDefault="00D42E7D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42E7D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Se calculará el indicador según la frecuencia de levantamiento de información de cada muestra.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6181213B" w:rsidR="0097395E" w:rsidRPr="0097395E" w:rsidRDefault="00267B2F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67B2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indicador se reportará al mismo tiempo que la publicación de la información preliminar o definitiva de la muestra.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0418F577" w:rsidR="0097395E" w:rsidRPr="0097395E" w:rsidRDefault="00DE286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DE286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Periodo de levantamiento de la información de la muestra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543D5C9A" w14:textId="2BF88BA1" w:rsidR="00362EEC" w:rsidRDefault="00362EEC" w:rsidP="00362EEC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62E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La estimación de la varianza estimada del estimador, </w:t>
      </w:r>
      <m:oMath>
        <m:acc>
          <m:acc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Calibri"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</m:oMath>
      <w:r w:rsidRPr="00362E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, se puede realizar por varios métodos, incluyendo aquellos de remuestreo.</w:t>
      </w:r>
    </w:p>
    <w:p w14:paraId="3F3EDB38" w14:textId="77777777" w:rsidR="00362EEC" w:rsidRPr="00362EEC" w:rsidRDefault="00362EEC" w:rsidP="00362EEC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165450" w14:textId="77777777" w:rsidR="00362EEC" w:rsidRPr="00362EEC" w:rsidRDefault="00362EEC" w:rsidP="00362EEC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362EEC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Para aquellos diseños en donde el número de unidades primarias de muestreo sea muy pequeño, es posible que exista la necesidad de usar otra distribución diferente a la normal estándar que considere el ajuste necesario dado el número de estratos y de unidades primarias de muestreo.</w:t>
      </w:r>
    </w:p>
    <w:p w14:paraId="688C73CE" w14:textId="34985D3A" w:rsidR="00267B2F" w:rsidRPr="00267B2F" w:rsidRDefault="00267B2F" w:rsidP="00267B2F">
      <w:pPr>
        <w:pStyle w:val="Prrafodelista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67B2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164CED0E" w14:textId="4E93DB8C" w:rsidR="00DE2869" w:rsidRPr="00DE2869" w:rsidRDefault="00294AE7" w:rsidP="00DE2869">
      <w:pPr>
        <w:pStyle w:val="Prrafodelista"/>
        <w:ind w:left="426"/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r>
          <m:rPr>
            <m:sty m:val="bi"/>
          </m:rPr>
          <w:rPr>
            <w:rFonts w:ascii="Cambria Math" w:hAnsi="Cambria Math" w:cs="Calibri"/>
            <w:color w:val="000000"/>
            <w:sz w:val="20"/>
            <w:szCs w:val="20"/>
          </w:rPr>
          <m:t>T</m:t>
        </m:r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hAnsi="Cambria Math" w:cs="Calibri"/>
            <w:color w:val="000000"/>
            <w:sz w:val="20"/>
            <w:szCs w:val="20"/>
          </w:rPr>
          <m:t>-</m:t>
        </m:r>
        <m:acc>
          <m:acc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θ</m:t>
            </m:r>
          </m:e>
        </m:acc>
        <m:r>
          <m:rPr>
            <m:sty m:val="bi"/>
          </m:rPr>
          <w:rPr>
            <w:rFonts w:ascii="Cambria Math" w:hAnsi="Cambria Math" w:cs="Calibri"/>
            <w:color w:val="000000"/>
            <w:sz w:val="20"/>
            <w:szCs w:val="20"/>
          </w:rPr>
          <m:t>±</m:t>
        </m:r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Z</m:t>
            </m:r>
          </m:e>
          <m:sub>
            <m:f>
              <m:f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α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2</m:t>
                </m:r>
              </m:den>
            </m:f>
          </m:sub>
        </m:sSub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EE</m:t>
                </m:r>
              </m:e>
            </m:acc>
            <m:d>
              <m:d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dPr>
              <m:e>
                <m:acc>
                  <m:accPr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color w:val="000000"/>
                        <w:sz w:val="20"/>
                        <w:szCs w:val="20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color w:val="000000"/>
                        <w:sz w:val="20"/>
                        <w:szCs w:val="20"/>
                      </w:rPr>
                      <m:t>θ</m:t>
                    </m:r>
                  </m:e>
                </m:acc>
              </m:e>
            </m:d>
          </m:e>
        </m:d>
      </m:oMath>
    </w:p>
    <w:p w14:paraId="238DFF59" w14:textId="202EF047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71D49A02" w14:textId="49ACF2D2" w:rsidR="00362EEC" w:rsidRPr="00362EEC" w:rsidRDefault="00362EEC" w:rsidP="00362EEC">
      <w:pPr>
        <w:pStyle w:val="Prrafodelista"/>
        <w:ind w:left="426"/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     </m:t>
        </m:r>
        <m:acc>
          <m:acc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θ</m:t>
            </m:r>
          </m:e>
        </m:acc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     =</m:t>
        </m:r>
      </m:oMath>
      <w:r w:rsidRPr="00362EEC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Estimador del valor poblacional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θ</m:t>
        </m:r>
      </m:oMath>
      <w:r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042530C5" w14:textId="7210999D" w:rsidR="00362EEC" w:rsidRPr="00362EEC" w:rsidRDefault="00000000" w:rsidP="00362EEC">
      <w:pPr>
        <w:pStyle w:val="Prrafodelista"/>
        <w:ind w:left="426"/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m:oMath>
        <m:acc>
          <m:acc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EE</m:t>
            </m:r>
          </m:e>
        </m:acc>
        <m:d>
          <m:d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=</m:t>
        </m:r>
      </m:oMath>
      <w:r w:rsidR="00362EEC" w:rsidRPr="00362EEC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="00362EEC"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Estimador del error estándar de </w:t>
      </w:r>
      <m:oMath>
        <m:acc>
          <m:accPr>
            <m:ctrl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θ</m:t>
            </m:r>
          </m:e>
        </m:acc>
      </m:oMath>
      <w:r w:rsidR="00362EEC"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1CCBABA" w14:textId="731C4B09" w:rsidR="00362EEC" w:rsidRPr="00362EEC" w:rsidRDefault="00362EEC" w:rsidP="00362EEC">
      <w:pPr>
        <w:pStyle w:val="Prrafodelista"/>
        <w:ind w:left="426"/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 T</m:t>
        </m:r>
        <m:d>
          <m:d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θ</m:t>
                </m:r>
              </m:e>
            </m:acc>
          </m:e>
        </m:d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 =</m:t>
        </m:r>
      </m:oMath>
      <w:r w:rsidRPr="00362EEC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>Intervalo de confianza.</w:t>
      </w:r>
    </w:p>
    <w:p w14:paraId="46243E26" w14:textId="2A0DEAD2" w:rsidR="00362EEC" w:rsidRPr="00362EEC" w:rsidRDefault="00362EEC" w:rsidP="00362EEC">
      <w:pPr>
        <w:pStyle w:val="Prrafodelista"/>
        <w:ind w:left="1418" w:hanging="992"/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 w:rsidRPr="00362EEC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m:oMath>
        <m:sSub>
          <m:sSub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Z</m:t>
            </m:r>
          </m:e>
          <m:sub>
            <m:f>
              <m:fPr>
                <m:ctrlPr>
                  <w:rPr>
                    <w:rFonts w:ascii="Cambria Math" w:eastAsia="Times New Roman" w:hAnsi="Cambria Math" w:cs="Calibri"/>
                    <w:b/>
                    <w:bCs/>
                    <w:i/>
                    <w:iCs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α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20"/>
                    <w:szCs w:val="20"/>
                    <w:lang w:eastAsia="es-MX"/>
                    <w14:ligatures w14:val="none"/>
                  </w:rPr>
                  <m:t>2</m:t>
                </m:r>
              </m:den>
            </m:f>
          </m:sub>
        </m:sSub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    =</m:t>
        </m:r>
      </m:oMath>
      <w:r w:rsidRPr="00362EEC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Pr="00362EEC">
        <w:rPr>
          <w:rFonts w:ascii="Cambria Math" w:eastAsia="Times New Roman" w:hAnsi="Cambria Math" w:cs="Calibri"/>
          <w:color w:val="000000"/>
          <w:kern w:val="0"/>
          <w:sz w:val="20"/>
          <w:szCs w:val="20"/>
          <w:lang w:eastAsia="es-MX"/>
          <w14:ligatures w14:val="none"/>
        </w:rPr>
        <w:t xml:space="preserve">Valor de la abscisa en la distribución normal estándar para un nivel de confianza de </w:t>
      </w:r>
      <m:oMath>
        <m:d>
          <m:dPr>
            <m:ctrl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1-α</m:t>
            </m:r>
          </m:e>
        </m:d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%.</m:t>
        </m:r>
      </m:oMath>
    </w:p>
    <w:p w14:paraId="2A073F7D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4E67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0377A75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273B2432" w:rsidR="00294AE7" w:rsidRPr="00294AE7" w:rsidRDefault="00267B2F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Total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Fuentes de información del indicador:</w:t>
      </w:r>
    </w:p>
    <w:p w14:paraId="57D30C40" w14:textId="2AE070F9" w:rsidR="00362EEC" w:rsidRPr="00362EEC" w:rsidRDefault="00294AE7" w:rsidP="00362EEC">
      <w:pPr>
        <w:ind w:left="426"/>
        <w:rPr>
          <w:rFonts w:ascii="Calibri" w:hAnsi="Calibri" w:cs="Calibri"/>
          <w:sz w:val="20"/>
          <w:szCs w:val="20"/>
        </w:rPr>
      </w:pPr>
      <w:r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m:oMath>
        <m:acc>
          <m:accPr>
            <m:ctrlPr>
              <w:rPr>
                <w:rFonts w:ascii="Cambria Math" w:hAnsi="Cambria Math" w:cs="Calibr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="Calibri"/>
                <w:sz w:val="20"/>
                <w:szCs w:val="20"/>
              </w:rPr>
              <m:t>θ</m:t>
            </m:r>
          </m:e>
        </m:acc>
      </m:oMath>
      <w:r w:rsidR="00362EEC" w:rsidRPr="00362EEC">
        <w:rPr>
          <w:rFonts w:ascii="Calibri" w:eastAsia="Times New Roman" w:hAnsi="Calibri" w:cs="Calibri"/>
          <w:i/>
          <w:iCs/>
          <w:sz w:val="20"/>
          <w:szCs w:val="20"/>
        </w:rPr>
        <w:t xml:space="preserve"> </w:t>
      </w:r>
      <w:r w:rsidR="00362EEC" w:rsidRPr="00362EEC">
        <w:rPr>
          <w:rFonts w:ascii="Calibri" w:eastAsia="Times New Roman" w:hAnsi="Calibri" w:cs="Calibri"/>
          <w:sz w:val="20"/>
          <w:szCs w:val="20"/>
        </w:rPr>
        <w:t>El estimador del parámetro de interés, se calcula con información del mismo pro</w:t>
      </w:r>
      <w:r w:rsidR="00362EEC">
        <w:rPr>
          <w:rFonts w:ascii="Calibri" w:eastAsia="Times New Roman" w:hAnsi="Calibri" w:cs="Calibri"/>
          <w:sz w:val="20"/>
          <w:szCs w:val="20"/>
        </w:rPr>
        <w:t>ceso de producción</w:t>
      </w:r>
      <w:r w:rsidR="00362EEC" w:rsidRPr="00362EEC">
        <w:rPr>
          <w:rFonts w:ascii="Calibri" w:eastAsia="Times New Roman" w:hAnsi="Calibri" w:cs="Calibri"/>
          <w:sz w:val="20"/>
          <w:szCs w:val="20"/>
        </w:rPr>
        <w:t xml:space="preserve"> para</w:t>
      </w:r>
      <w:r w:rsidR="00362EEC">
        <w:rPr>
          <w:rFonts w:ascii="Calibri" w:eastAsia="Times New Roman" w:hAnsi="Calibri" w:cs="Calibri"/>
          <w:sz w:val="20"/>
          <w:szCs w:val="20"/>
        </w:rPr>
        <w:t xml:space="preserve"> el</w:t>
      </w:r>
      <w:r w:rsidR="00362EEC" w:rsidRPr="00362EEC">
        <w:rPr>
          <w:rFonts w:ascii="Calibri" w:eastAsia="Times New Roman" w:hAnsi="Calibri" w:cs="Calibri"/>
          <w:sz w:val="20"/>
          <w:szCs w:val="20"/>
        </w:rPr>
        <w:t xml:space="preserve"> cual se calcula el indicador.</w:t>
      </w:r>
    </w:p>
    <w:p w14:paraId="5689EA4F" w14:textId="525BBE3A" w:rsidR="00362EEC" w:rsidRPr="00362EEC" w:rsidRDefault="00000000" w:rsidP="00362EEC">
      <w:pPr>
        <w:ind w:left="426"/>
        <w:rPr>
          <w:rFonts w:ascii="Calibri" w:eastAsia="Times New Roman" w:hAnsi="Calibri" w:cs="Calibri"/>
          <w:sz w:val="20"/>
          <w:szCs w:val="20"/>
        </w:rPr>
      </w:pPr>
      <m:oMath>
        <m:acc>
          <m:accPr>
            <m:ctrlPr>
              <w:rPr>
                <w:rFonts w:ascii="Cambria Math" w:eastAsia="Times New Roman" w:hAnsi="Cambria Math" w:cs="Calibr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="Calibri"/>
                <w:sz w:val="20"/>
                <w:szCs w:val="20"/>
              </w:rPr>
              <m:t>EE</m:t>
            </m:r>
          </m:e>
        </m:acc>
        <m:d>
          <m:dPr>
            <m:ctrlPr>
              <w:rPr>
                <w:rFonts w:ascii="Cambria Math" w:eastAsia="Times New Roman" w:hAnsi="Cambria Math" w:cs="Calibri"/>
                <w:i/>
                <w:iCs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θ</m:t>
                </m:r>
              </m:e>
            </m:acc>
          </m:e>
        </m:d>
      </m:oMath>
      <w:r w:rsidR="00362EEC" w:rsidRPr="00362EEC">
        <w:rPr>
          <w:rFonts w:ascii="Calibri" w:eastAsia="Times New Roman" w:hAnsi="Calibri" w:cs="Calibri"/>
          <w:sz w:val="20"/>
          <w:szCs w:val="20"/>
        </w:rPr>
        <w:t xml:space="preserve">  El estimador del error estándar, se calcula con información del mismo pro</w:t>
      </w:r>
      <w:r w:rsidR="00F540C3">
        <w:rPr>
          <w:rFonts w:ascii="Calibri" w:eastAsia="Times New Roman" w:hAnsi="Calibri" w:cs="Calibri"/>
          <w:sz w:val="20"/>
          <w:szCs w:val="20"/>
        </w:rPr>
        <w:t>ceso de producción</w:t>
      </w:r>
      <w:r w:rsidR="00362EEC" w:rsidRPr="00362EEC">
        <w:rPr>
          <w:rFonts w:ascii="Calibri" w:eastAsia="Times New Roman" w:hAnsi="Calibri" w:cs="Calibri"/>
          <w:sz w:val="20"/>
          <w:szCs w:val="20"/>
        </w:rPr>
        <w:t xml:space="preserve"> para </w:t>
      </w:r>
      <w:r w:rsidR="00F540C3">
        <w:rPr>
          <w:rFonts w:ascii="Calibri" w:eastAsia="Times New Roman" w:hAnsi="Calibri" w:cs="Calibri"/>
          <w:sz w:val="20"/>
          <w:szCs w:val="20"/>
        </w:rPr>
        <w:t>el</w:t>
      </w:r>
      <w:r w:rsidR="00362EEC" w:rsidRPr="00362EEC">
        <w:rPr>
          <w:rFonts w:ascii="Calibri" w:eastAsia="Times New Roman" w:hAnsi="Calibri" w:cs="Calibri"/>
          <w:sz w:val="20"/>
          <w:szCs w:val="20"/>
        </w:rPr>
        <w:t xml:space="preserve"> cual se calcula el indicador.</w:t>
      </w:r>
    </w:p>
    <w:p w14:paraId="03EECA98" w14:textId="447400CB" w:rsidR="00362EEC" w:rsidRPr="00362EEC" w:rsidRDefault="00362EEC" w:rsidP="00362EEC">
      <w:pPr>
        <w:ind w:left="426"/>
        <w:rPr>
          <w:rFonts w:ascii="Calibri" w:eastAsia="Times New Roman" w:hAnsi="Calibri" w:cs="Calibri"/>
          <w:sz w:val="20"/>
          <w:szCs w:val="20"/>
        </w:rPr>
      </w:pPr>
      <w:r w:rsidRPr="00362EEC">
        <w:rPr>
          <w:rFonts w:ascii="Calibri" w:eastAsia="Times New Roman" w:hAnsi="Calibri" w:cs="Calibri"/>
          <w:sz w:val="20"/>
          <w:szCs w:val="20"/>
        </w:rPr>
        <w:t xml:space="preserve">Finalmente, el estimador de la varianza, </w:t>
      </w:r>
      <m:oMath>
        <m:acc>
          <m:accPr>
            <m:ctrlPr>
              <w:rPr>
                <w:rFonts w:ascii="Cambria Math" w:eastAsia="Times New Roman" w:hAnsi="Cambria Math" w:cs="Calibri"/>
                <w:i/>
                <w:iCs/>
                <w:sz w:val="20"/>
                <w:szCs w:val="20"/>
              </w:rPr>
            </m:ctrlPr>
          </m:accPr>
          <m:e>
            <m:r>
              <w:rPr>
                <w:rFonts w:ascii="Cambria Math" w:eastAsia="Times New Roman" w:hAnsi="Cambria Math" w:cs="Calibri"/>
                <w:sz w:val="20"/>
                <w:szCs w:val="20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 w:cs="Calibri"/>
                <w:i/>
                <w:iCs/>
                <w:sz w:val="20"/>
                <w:szCs w:val="20"/>
              </w:rPr>
            </m:ctrlPr>
          </m:dPr>
          <m:e>
            <m:acc>
              <m:accPr>
                <m:ctrlPr>
                  <w:rPr>
                    <w:rFonts w:ascii="Cambria Math" w:eastAsia="Times New Roman" w:hAnsi="Cambria Math" w:cs="Calibri"/>
                    <w:i/>
                    <w:iCs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eastAsia="Times New Roman" w:hAnsi="Cambria Math" w:cs="Calibri"/>
                    <w:sz w:val="20"/>
                    <w:szCs w:val="20"/>
                  </w:rPr>
                  <m:t>θ</m:t>
                </m:r>
              </m:e>
            </m:acc>
          </m:e>
        </m:d>
      </m:oMath>
      <w:r w:rsidRPr="00362EEC">
        <w:rPr>
          <w:rFonts w:ascii="Calibri" w:eastAsia="Times New Roman" w:hAnsi="Calibri" w:cs="Calibri"/>
          <w:sz w:val="20"/>
          <w:szCs w:val="20"/>
        </w:rPr>
        <w:t>, también se calcula con información del mismo pro</w:t>
      </w:r>
      <w:r w:rsidR="00F540C3">
        <w:rPr>
          <w:rFonts w:ascii="Calibri" w:eastAsia="Times New Roman" w:hAnsi="Calibri" w:cs="Calibri"/>
          <w:sz w:val="20"/>
          <w:szCs w:val="20"/>
        </w:rPr>
        <w:t>ceso de producción</w:t>
      </w:r>
      <w:r w:rsidRPr="00362EEC">
        <w:rPr>
          <w:rFonts w:ascii="Calibri" w:eastAsia="Times New Roman" w:hAnsi="Calibri" w:cs="Calibri"/>
          <w:sz w:val="20"/>
          <w:szCs w:val="20"/>
        </w:rPr>
        <w:t xml:space="preserve"> para </w:t>
      </w:r>
      <w:r w:rsidR="00F540C3">
        <w:rPr>
          <w:rFonts w:ascii="Calibri" w:eastAsia="Times New Roman" w:hAnsi="Calibri" w:cs="Calibri"/>
          <w:sz w:val="20"/>
          <w:szCs w:val="20"/>
        </w:rPr>
        <w:t>el</w:t>
      </w:r>
      <w:r w:rsidRPr="00362EEC">
        <w:rPr>
          <w:rFonts w:ascii="Calibri" w:eastAsia="Times New Roman" w:hAnsi="Calibri" w:cs="Calibri"/>
          <w:sz w:val="20"/>
          <w:szCs w:val="20"/>
        </w:rPr>
        <w:t xml:space="preserve"> cual se calcula el indicador. Así que el intervalo de confianza sólo requiere de la información de la muestra y de las variables usadas en el diseño muestral (factores de expansión, estratos de diseño, conglomerados, etcétera).</w:t>
      </w: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12A94F44" w14:textId="7685445E" w:rsidR="00294AE7" w:rsidRDefault="00F540C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El intervalo de confianza se calcula individualmente para las variables principales generadas a partir de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con muestreo probabilístico. Su desagregación está asociada a los dominios de estudio y cobertura sectorial para los cuales fue diseñado el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</w:t>
      </w: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por lo que no es posible su agregación a nivel institucional.</w:t>
      </w:r>
    </w:p>
    <w:p w14:paraId="5E1B39CB" w14:textId="77777777" w:rsidR="00DE2869" w:rsidRDefault="00DE286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2B2AF3F5" w14:textId="39C732CD" w:rsidR="00DE2869" w:rsidRDefault="00F540C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Los límites del intervalo de confianza se definen con la suma (o resta) del estimador del parámetro de interés y el resultado de la multiplicación del estimador del error estándar y el valor de la abscisa en la distribución normal estándar para un nivel de confianza de (1‐ α)%.  El rango de valores que toma el intervalo de confianza corresponde a aquellos valores en los cuales se espera esté contenido el valor del parámetro con cierta probabilidad.</w:t>
      </w:r>
    </w:p>
    <w:p w14:paraId="2AFAB0FB" w14:textId="77777777" w:rsidR="00F540C3" w:rsidRDefault="00F540C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193E4D84" w14:textId="79B11ADF" w:rsidR="00F540C3" w:rsidRDefault="00F540C3" w:rsidP="00F540C3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Para cada pro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 de producción</w:t>
      </w: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se deberán especificar las variables principales y los dominios de estudio. También, se deberá indicar cual fue la metodología usada para la estimación de la varianza del estimador y en el caso de usar otra distribución probabilística se deberá indicar expl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í</w:t>
      </w: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citamente o se entenderá que se usa la normal estándar.</w:t>
      </w:r>
    </w:p>
    <w:p w14:paraId="40E6A19D" w14:textId="77777777" w:rsidR="00F540C3" w:rsidRPr="00F540C3" w:rsidRDefault="00F540C3" w:rsidP="00F540C3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19BD864A" w14:textId="06307170" w:rsidR="00F540C3" w:rsidRDefault="00F540C3" w:rsidP="00F540C3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En el caso de que se usen intervalos de confianza calculados con métodos alternativos (por ejemplo, aquellos para proporciones o los obtenidos por remuestreo) se deberá justificar la razón y de ser posible incluir ambas opciones.</w:t>
      </w:r>
    </w:p>
    <w:p w14:paraId="0CB2097B" w14:textId="77777777" w:rsidR="00DE2869" w:rsidRDefault="00DE286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3A6E9167" w14:textId="12C44B95" w:rsidR="007D2115" w:rsidRPr="009510D8" w:rsidRDefault="00F540C3" w:rsidP="00EF394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F540C3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Para el intervalo de confianza no existe un valor de referencia o estándar de calidad único ya que éste depende de la variable específica que se considere; además, está expresado en la unidad de medida del parámetro poblacional.</w:t>
      </w:r>
    </w:p>
    <w:p w14:paraId="4E9B464E" w14:textId="77777777" w:rsidR="007D2115" w:rsidRDefault="007D2115" w:rsidP="007D2115">
      <w:pPr>
        <w:spacing w:after="0"/>
        <w:ind w:left="426"/>
        <w:rPr>
          <w:sz w:val="20"/>
          <w:szCs w:val="20"/>
        </w:rPr>
      </w:pPr>
    </w:p>
    <w:sectPr w:rsidR="007D2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B47D0B"/>
    <w:multiLevelType w:val="hybridMultilevel"/>
    <w:tmpl w:val="EF46CFBE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800AD7"/>
    <w:multiLevelType w:val="hybridMultilevel"/>
    <w:tmpl w:val="3018641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175192"/>
    <w:multiLevelType w:val="hybridMultilevel"/>
    <w:tmpl w:val="0E7ADAFA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D37799C"/>
    <w:multiLevelType w:val="hybridMultilevel"/>
    <w:tmpl w:val="F96C3A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7"/>
  </w:num>
  <w:num w:numId="2" w16cid:durableId="2067950652">
    <w:abstractNumId w:val="11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10"/>
  </w:num>
  <w:num w:numId="7" w16cid:durableId="1373924067">
    <w:abstractNumId w:val="8"/>
  </w:num>
  <w:num w:numId="8" w16cid:durableId="435561208">
    <w:abstractNumId w:val="9"/>
  </w:num>
  <w:num w:numId="9" w16cid:durableId="1724983717">
    <w:abstractNumId w:val="6"/>
  </w:num>
  <w:num w:numId="10" w16cid:durableId="76486300">
    <w:abstractNumId w:val="4"/>
  </w:num>
  <w:num w:numId="11" w16cid:durableId="672757559">
    <w:abstractNumId w:val="5"/>
  </w:num>
  <w:num w:numId="12" w16cid:durableId="1421869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63F79"/>
    <w:rsid w:val="00100E12"/>
    <w:rsid w:val="00125E0E"/>
    <w:rsid w:val="00186E2E"/>
    <w:rsid w:val="00206D7D"/>
    <w:rsid w:val="00235D6E"/>
    <w:rsid w:val="002529AB"/>
    <w:rsid w:val="00267B2F"/>
    <w:rsid w:val="00294AE7"/>
    <w:rsid w:val="002F559F"/>
    <w:rsid w:val="0033224A"/>
    <w:rsid w:val="00335E4E"/>
    <w:rsid w:val="003569FC"/>
    <w:rsid w:val="00362EEC"/>
    <w:rsid w:val="00394D4B"/>
    <w:rsid w:val="0042050E"/>
    <w:rsid w:val="00444B20"/>
    <w:rsid w:val="00464252"/>
    <w:rsid w:val="004836B2"/>
    <w:rsid w:val="004A0D61"/>
    <w:rsid w:val="004D1DE0"/>
    <w:rsid w:val="004D2E5F"/>
    <w:rsid w:val="005349DC"/>
    <w:rsid w:val="00586848"/>
    <w:rsid w:val="00597769"/>
    <w:rsid w:val="005D5F63"/>
    <w:rsid w:val="0061336D"/>
    <w:rsid w:val="00634AA4"/>
    <w:rsid w:val="006B1E11"/>
    <w:rsid w:val="006B2E16"/>
    <w:rsid w:val="006E414F"/>
    <w:rsid w:val="00711025"/>
    <w:rsid w:val="007B774C"/>
    <w:rsid w:val="007D2115"/>
    <w:rsid w:val="00872EB8"/>
    <w:rsid w:val="008953F4"/>
    <w:rsid w:val="008C470B"/>
    <w:rsid w:val="008E593E"/>
    <w:rsid w:val="009510D8"/>
    <w:rsid w:val="009546E7"/>
    <w:rsid w:val="0097395E"/>
    <w:rsid w:val="00984084"/>
    <w:rsid w:val="009935FA"/>
    <w:rsid w:val="009F0312"/>
    <w:rsid w:val="009F1250"/>
    <w:rsid w:val="00A50F8D"/>
    <w:rsid w:val="00BF4A5C"/>
    <w:rsid w:val="00D274BD"/>
    <w:rsid w:val="00D42E7D"/>
    <w:rsid w:val="00D468DB"/>
    <w:rsid w:val="00D73C42"/>
    <w:rsid w:val="00D9328F"/>
    <w:rsid w:val="00DE2869"/>
    <w:rsid w:val="00DF5B40"/>
    <w:rsid w:val="00E60F03"/>
    <w:rsid w:val="00E75ECC"/>
    <w:rsid w:val="00EE62C9"/>
    <w:rsid w:val="00EF3947"/>
    <w:rsid w:val="00F15B26"/>
    <w:rsid w:val="00F37A79"/>
    <w:rsid w:val="00F540C3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1400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30</cp:revision>
  <dcterms:created xsi:type="dcterms:W3CDTF">2025-07-23T17:19:00Z</dcterms:created>
  <dcterms:modified xsi:type="dcterms:W3CDTF">2025-10-09T17:28:00Z</dcterms:modified>
</cp:coreProperties>
</file>